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72" w:rsidRDefault="005F0672" w:rsidP="005F0672">
      <w:pPr>
        <w:pStyle w:val="Titel"/>
        <w:jc w:val="center"/>
        <w:rPr>
          <w:rFonts w:asciiTheme="minorHAnsi" w:hAnsiTheme="minorHAnsi"/>
          <w:sz w:val="40"/>
          <w:szCs w:val="40"/>
        </w:rPr>
      </w:pPr>
    </w:p>
    <w:p w:rsidR="005F0672" w:rsidRDefault="005F0672" w:rsidP="005F0672">
      <w:pPr>
        <w:pStyle w:val="Titel"/>
        <w:jc w:val="center"/>
        <w:rPr>
          <w:rFonts w:asciiTheme="minorHAnsi" w:hAnsiTheme="minorHAnsi"/>
          <w:sz w:val="40"/>
          <w:szCs w:val="40"/>
        </w:rPr>
      </w:pPr>
    </w:p>
    <w:p w:rsidR="005F0672" w:rsidRDefault="005F0672" w:rsidP="005F0672">
      <w:pPr>
        <w:pStyle w:val="Titel"/>
        <w:jc w:val="center"/>
        <w:rPr>
          <w:rFonts w:asciiTheme="minorHAnsi" w:hAnsiTheme="minorHAnsi"/>
          <w:sz w:val="40"/>
          <w:szCs w:val="40"/>
        </w:rPr>
      </w:pPr>
    </w:p>
    <w:p w:rsidR="005F0672" w:rsidRPr="007E6B65" w:rsidRDefault="00E321BD" w:rsidP="005F0672">
      <w:pPr>
        <w:pStyle w:val="Titel"/>
        <w:jc w:val="center"/>
        <w:rPr>
          <w:rFonts w:asciiTheme="minorHAnsi" w:hAnsiTheme="minorHAnsi"/>
          <w:sz w:val="40"/>
          <w:szCs w:val="40"/>
        </w:rPr>
      </w:pPr>
      <w:r>
        <w:rPr>
          <w:rFonts w:asciiTheme="minorHAnsi" w:hAnsiTheme="minorHAnsi"/>
          <w:sz w:val="40"/>
          <w:szCs w:val="40"/>
        </w:rPr>
        <w:t>Schlussbewertung</w:t>
      </w:r>
    </w:p>
    <w:p w:rsidR="005F0672" w:rsidRDefault="005F0672" w:rsidP="005F0672">
      <w:pPr>
        <w:pStyle w:val="Titel"/>
        <w:jc w:val="center"/>
        <w:rPr>
          <w:sz w:val="36"/>
          <w:szCs w:val="36"/>
        </w:rPr>
      </w:pPr>
      <w:r>
        <w:rPr>
          <w:i/>
          <w:iCs/>
          <w:noProof/>
          <w:color w:val="4F81BD" w:themeColor="accent1"/>
          <w:spacing w:val="15"/>
          <w:sz w:val="24"/>
          <w:szCs w:val="24"/>
        </w:rPr>
        <w:drawing>
          <wp:anchor distT="0" distB="0" distL="114300" distR="114300" simplePos="0" relativeHeight="251659264" behindDoc="1" locked="0" layoutInCell="1" allowOverlap="1">
            <wp:simplePos x="0" y="0"/>
            <wp:positionH relativeFrom="column">
              <wp:posOffset>967105</wp:posOffset>
            </wp:positionH>
            <wp:positionV relativeFrom="paragraph">
              <wp:posOffset>238125</wp:posOffset>
            </wp:positionV>
            <wp:extent cx="3810000" cy="3810000"/>
            <wp:effectExtent l="0" t="0" r="0" b="0"/>
            <wp:wrapNone/>
            <wp:docPr id="2" name="Bild 2" descr="kur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rmaLogo"/>
                    <pic:cNvPicPr>
                      <a:picLocks noChangeAspect="1" noChangeArrowheads="1"/>
                    </pic:cNvPicPr>
                  </pic:nvPicPr>
                  <pic:blipFill>
                    <a:blip r:embed="rId6"/>
                    <a:srcRect/>
                    <a:stretch>
                      <a:fillRect/>
                    </a:stretch>
                  </pic:blipFill>
                  <pic:spPr bwMode="auto">
                    <a:xfrm>
                      <a:off x="0" y="0"/>
                      <a:ext cx="3810000" cy="3810000"/>
                    </a:xfrm>
                    <a:prstGeom prst="rect">
                      <a:avLst/>
                    </a:prstGeom>
                    <a:noFill/>
                  </pic:spPr>
                </pic:pic>
              </a:graphicData>
            </a:graphic>
          </wp:anchor>
        </w:drawing>
      </w:r>
    </w:p>
    <w:p w:rsidR="005F0672" w:rsidRPr="007E6B65" w:rsidRDefault="005F0672" w:rsidP="005F0672"/>
    <w:p w:rsidR="005F0672" w:rsidRDefault="005F0672" w:rsidP="005F0672">
      <w:pPr>
        <w:jc w:val="center"/>
        <w:rPr>
          <w:sz w:val="36"/>
          <w:szCs w:val="36"/>
        </w:rPr>
      </w:pPr>
    </w:p>
    <w:p w:rsidR="005F0672" w:rsidRDefault="005F0672" w:rsidP="005F0672">
      <w:pPr>
        <w:jc w:val="center"/>
        <w:rPr>
          <w:sz w:val="36"/>
          <w:szCs w:val="36"/>
        </w:rPr>
      </w:pPr>
    </w:p>
    <w:p w:rsidR="005F0672" w:rsidRDefault="005F0672" w:rsidP="005F0672">
      <w:pPr>
        <w:jc w:val="center"/>
        <w:rPr>
          <w:sz w:val="36"/>
          <w:szCs w:val="36"/>
        </w:rPr>
      </w:pPr>
    </w:p>
    <w:p w:rsidR="005F0672" w:rsidRDefault="005F0672" w:rsidP="005F0672">
      <w:pPr>
        <w:jc w:val="center"/>
        <w:rPr>
          <w:sz w:val="36"/>
          <w:szCs w:val="36"/>
        </w:rPr>
      </w:pPr>
    </w:p>
    <w:p w:rsidR="005F0672" w:rsidRDefault="005F0672" w:rsidP="005F0672">
      <w:pPr>
        <w:jc w:val="center"/>
        <w:rPr>
          <w:sz w:val="36"/>
          <w:szCs w:val="36"/>
        </w:rPr>
      </w:pPr>
    </w:p>
    <w:p w:rsidR="005F0672" w:rsidRDefault="005F0672" w:rsidP="005F0672">
      <w:pPr>
        <w:jc w:val="center"/>
        <w:rPr>
          <w:sz w:val="36"/>
          <w:szCs w:val="36"/>
        </w:rPr>
      </w:pPr>
    </w:p>
    <w:p w:rsidR="005F0672" w:rsidRDefault="005F0672" w:rsidP="005F0672">
      <w:pPr>
        <w:jc w:val="center"/>
        <w:rPr>
          <w:b/>
          <w:sz w:val="36"/>
          <w:szCs w:val="36"/>
        </w:rPr>
      </w:pPr>
    </w:p>
    <w:p w:rsidR="005F0672" w:rsidRDefault="005F0672" w:rsidP="005F0672">
      <w:pPr>
        <w:jc w:val="center"/>
        <w:rPr>
          <w:b/>
          <w:sz w:val="36"/>
          <w:szCs w:val="36"/>
        </w:rPr>
      </w:pPr>
    </w:p>
    <w:tbl>
      <w:tblPr>
        <w:tblStyle w:val="HelleSchattierung-Akzent11"/>
        <w:tblW w:w="0" w:type="auto"/>
        <w:tblLook w:val="04A0"/>
      </w:tblPr>
      <w:tblGrid>
        <w:gridCol w:w="3068"/>
        <w:gridCol w:w="28"/>
        <w:gridCol w:w="3096"/>
        <w:gridCol w:w="27"/>
        <w:gridCol w:w="3069"/>
      </w:tblGrid>
      <w:tr w:rsidR="005F0672" w:rsidTr="00FF5D3B">
        <w:trPr>
          <w:cnfStyle w:val="100000000000"/>
        </w:trPr>
        <w:tc>
          <w:tcPr>
            <w:cnfStyle w:val="001000000000"/>
            <w:tcW w:w="3096" w:type="dxa"/>
            <w:gridSpan w:val="2"/>
          </w:tcPr>
          <w:p w:rsidR="005F0672" w:rsidRDefault="005F0672" w:rsidP="00FF5D3B">
            <w:pPr>
              <w:pStyle w:val="berschrift2"/>
              <w:outlineLvl w:val="1"/>
            </w:pPr>
          </w:p>
        </w:tc>
        <w:tc>
          <w:tcPr>
            <w:tcW w:w="3096" w:type="dxa"/>
          </w:tcPr>
          <w:p w:rsidR="005F0672" w:rsidRDefault="005F0672" w:rsidP="00FF5D3B">
            <w:pPr>
              <w:pStyle w:val="berschrift2"/>
              <w:jc w:val="center"/>
              <w:outlineLvl w:val="1"/>
              <w:cnfStyle w:val="100000000000"/>
            </w:pPr>
            <w:bookmarkStart w:id="0" w:name="_Toc187242214"/>
            <w:bookmarkStart w:id="1" w:name="_Toc187250195"/>
            <w:bookmarkStart w:id="2" w:name="_Toc187250849"/>
            <w:bookmarkStart w:id="3" w:name="_Toc187250955"/>
            <w:bookmarkStart w:id="4" w:name="_Toc187932936"/>
            <w:r>
              <w:t>Projektteam</w:t>
            </w:r>
            <w:bookmarkEnd w:id="0"/>
            <w:bookmarkEnd w:id="1"/>
            <w:bookmarkEnd w:id="2"/>
            <w:bookmarkEnd w:id="3"/>
            <w:bookmarkEnd w:id="4"/>
          </w:p>
          <w:p w:rsidR="005F0672" w:rsidRPr="00190CCB" w:rsidRDefault="005F0672" w:rsidP="00FF5D3B">
            <w:pPr>
              <w:cnfStyle w:val="100000000000"/>
              <w:rPr>
                <w:sz w:val="16"/>
                <w:szCs w:val="16"/>
              </w:rPr>
            </w:pPr>
          </w:p>
        </w:tc>
        <w:tc>
          <w:tcPr>
            <w:tcW w:w="3096" w:type="dxa"/>
            <w:gridSpan w:val="2"/>
          </w:tcPr>
          <w:p w:rsidR="005F0672" w:rsidRDefault="005F0672" w:rsidP="00FF5D3B">
            <w:pPr>
              <w:pStyle w:val="berschrift2"/>
              <w:outlineLvl w:val="1"/>
              <w:cnfStyle w:val="100000000000"/>
            </w:pPr>
          </w:p>
        </w:tc>
      </w:tr>
      <w:tr w:rsidR="005F0672" w:rsidTr="00FF5D3B">
        <w:trPr>
          <w:cnfStyle w:val="000000100000"/>
        </w:trPr>
        <w:tc>
          <w:tcPr>
            <w:cnfStyle w:val="001000000000"/>
            <w:tcW w:w="3068" w:type="dxa"/>
          </w:tcPr>
          <w:p w:rsidR="005F0672" w:rsidRDefault="005F0672" w:rsidP="00FF5D3B">
            <w:pPr>
              <w:rPr>
                <w:sz w:val="24"/>
                <w:szCs w:val="24"/>
              </w:rPr>
            </w:pPr>
            <w:r w:rsidRPr="00190CCB">
              <w:rPr>
                <w:sz w:val="24"/>
                <w:szCs w:val="24"/>
              </w:rPr>
              <w:t>Ines Abdallah</w:t>
            </w:r>
          </w:p>
          <w:p w:rsidR="005F0672" w:rsidRPr="00190CCB" w:rsidRDefault="005F0672" w:rsidP="00FF5D3B">
            <w:pPr>
              <w:rPr>
                <w:sz w:val="16"/>
                <w:szCs w:val="16"/>
              </w:rPr>
            </w:pPr>
          </w:p>
        </w:tc>
        <w:tc>
          <w:tcPr>
            <w:tcW w:w="3151" w:type="dxa"/>
            <w:gridSpan w:val="3"/>
          </w:tcPr>
          <w:p w:rsidR="005F0672" w:rsidRPr="00190CCB" w:rsidRDefault="00A04392" w:rsidP="00FF5D3B">
            <w:pPr>
              <w:cnfStyle w:val="000000100000"/>
              <w:rPr>
                <w:bCs/>
                <w:sz w:val="24"/>
                <w:szCs w:val="24"/>
              </w:rPr>
            </w:pPr>
            <w:hyperlink r:id="rId7" w:history="1">
              <w:r w:rsidR="005F0672" w:rsidRPr="00C932FB">
                <w:rPr>
                  <w:rStyle w:val="Hyperlink"/>
                  <w:sz w:val="24"/>
                  <w:szCs w:val="24"/>
                </w:rPr>
                <w:t>ines.abdallah@gmail.com</w:t>
              </w:r>
            </w:hyperlink>
          </w:p>
        </w:tc>
        <w:tc>
          <w:tcPr>
            <w:tcW w:w="3069" w:type="dxa"/>
          </w:tcPr>
          <w:p w:rsidR="005F0672" w:rsidRPr="00190CCB" w:rsidRDefault="005F0672" w:rsidP="00FF5D3B">
            <w:pPr>
              <w:jc w:val="center"/>
              <w:cnfStyle w:val="000000100000"/>
              <w:rPr>
                <w:b/>
                <w:bCs/>
                <w:sz w:val="24"/>
                <w:szCs w:val="24"/>
              </w:rPr>
            </w:pPr>
            <w:r w:rsidRPr="00190CCB">
              <w:rPr>
                <w:b/>
                <w:bCs/>
                <w:sz w:val="24"/>
                <w:szCs w:val="24"/>
              </w:rPr>
              <w:t>s726 735</w:t>
            </w:r>
          </w:p>
        </w:tc>
      </w:tr>
      <w:tr w:rsidR="005F0672" w:rsidTr="00FF5D3B">
        <w:tc>
          <w:tcPr>
            <w:cnfStyle w:val="001000000000"/>
            <w:tcW w:w="3068" w:type="dxa"/>
          </w:tcPr>
          <w:p w:rsidR="005F0672" w:rsidRDefault="005F0672" w:rsidP="00FF5D3B">
            <w:pPr>
              <w:rPr>
                <w:sz w:val="24"/>
                <w:szCs w:val="24"/>
              </w:rPr>
            </w:pPr>
            <w:r w:rsidRPr="00190CCB">
              <w:rPr>
                <w:sz w:val="24"/>
                <w:szCs w:val="24"/>
              </w:rPr>
              <w:t>Ralf Bickel</w:t>
            </w:r>
          </w:p>
          <w:p w:rsidR="005F0672" w:rsidRPr="00190CCB" w:rsidRDefault="005F0672" w:rsidP="00FF5D3B">
            <w:pPr>
              <w:rPr>
                <w:sz w:val="16"/>
                <w:szCs w:val="16"/>
              </w:rPr>
            </w:pPr>
          </w:p>
        </w:tc>
        <w:tc>
          <w:tcPr>
            <w:tcW w:w="3151" w:type="dxa"/>
            <w:gridSpan w:val="3"/>
          </w:tcPr>
          <w:p w:rsidR="005F0672" w:rsidRPr="00190CCB" w:rsidRDefault="00A04392" w:rsidP="00FF5D3B">
            <w:pPr>
              <w:cnfStyle w:val="000000000000"/>
              <w:rPr>
                <w:bCs/>
                <w:sz w:val="24"/>
                <w:szCs w:val="24"/>
              </w:rPr>
            </w:pPr>
            <w:hyperlink r:id="rId8" w:history="1">
              <w:r w:rsidR="005F0672" w:rsidRPr="00190CCB">
                <w:rPr>
                  <w:rStyle w:val="Hyperlink"/>
                  <w:sz w:val="24"/>
                  <w:szCs w:val="24"/>
                </w:rPr>
                <w:t>ralf.bickel@gmail.com</w:t>
              </w:r>
            </w:hyperlink>
          </w:p>
        </w:tc>
        <w:tc>
          <w:tcPr>
            <w:tcW w:w="3069" w:type="dxa"/>
          </w:tcPr>
          <w:p w:rsidR="005F0672" w:rsidRPr="00190CCB" w:rsidRDefault="005F0672" w:rsidP="00FF5D3B">
            <w:pPr>
              <w:jc w:val="center"/>
              <w:cnfStyle w:val="000000000000"/>
              <w:rPr>
                <w:b/>
                <w:bCs/>
                <w:sz w:val="24"/>
                <w:szCs w:val="24"/>
              </w:rPr>
            </w:pPr>
            <w:r w:rsidRPr="00190CCB">
              <w:rPr>
                <w:b/>
                <w:bCs/>
                <w:sz w:val="24"/>
                <w:szCs w:val="24"/>
              </w:rPr>
              <w:t>s726 771</w:t>
            </w:r>
          </w:p>
        </w:tc>
      </w:tr>
      <w:tr w:rsidR="005F0672" w:rsidTr="00FF5D3B">
        <w:trPr>
          <w:cnfStyle w:val="000000100000"/>
        </w:trPr>
        <w:tc>
          <w:tcPr>
            <w:cnfStyle w:val="001000000000"/>
            <w:tcW w:w="3068" w:type="dxa"/>
          </w:tcPr>
          <w:p w:rsidR="005F0672" w:rsidRDefault="005F0672" w:rsidP="00FF5D3B">
            <w:pPr>
              <w:rPr>
                <w:sz w:val="24"/>
                <w:szCs w:val="24"/>
              </w:rPr>
            </w:pPr>
            <w:r w:rsidRPr="00190CCB">
              <w:rPr>
                <w:sz w:val="24"/>
                <w:szCs w:val="24"/>
              </w:rPr>
              <w:t>Lars Buchleitner</w:t>
            </w:r>
          </w:p>
          <w:p w:rsidR="005F0672" w:rsidRPr="00190CCB" w:rsidRDefault="005F0672" w:rsidP="00FF5D3B">
            <w:pPr>
              <w:rPr>
                <w:sz w:val="16"/>
                <w:szCs w:val="16"/>
              </w:rPr>
            </w:pPr>
          </w:p>
        </w:tc>
        <w:tc>
          <w:tcPr>
            <w:tcW w:w="3151" w:type="dxa"/>
            <w:gridSpan w:val="3"/>
          </w:tcPr>
          <w:p w:rsidR="005F0672" w:rsidRPr="00190CCB" w:rsidRDefault="00A04392" w:rsidP="00FF5D3B">
            <w:pPr>
              <w:cnfStyle w:val="000000100000"/>
              <w:rPr>
                <w:bCs/>
                <w:sz w:val="24"/>
                <w:szCs w:val="24"/>
              </w:rPr>
            </w:pPr>
            <w:hyperlink r:id="rId9" w:history="1">
              <w:r w:rsidR="005F0672" w:rsidRPr="00190CCB">
                <w:rPr>
                  <w:rStyle w:val="Hyperlink"/>
                  <w:sz w:val="24"/>
                  <w:szCs w:val="24"/>
                </w:rPr>
                <w:t>dr.chandra@tfh-berlin.de</w:t>
              </w:r>
            </w:hyperlink>
          </w:p>
        </w:tc>
        <w:tc>
          <w:tcPr>
            <w:tcW w:w="3069" w:type="dxa"/>
          </w:tcPr>
          <w:p w:rsidR="005F0672" w:rsidRPr="00190CCB" w:rsidRDefault="005F0672" w:rsidP="00FF5D3B">
            <w:pPr>
              <w:jc w:val="center"/>
              <w:cnfStyle w:val="000000100000"/>
              <w:rPr>
                <w:b/>
                <w:bCs/>
                <w:sz w:val="24"/>
                <w:szCs w:val="24"/>
              </w:rPr>
            </w:pPr>
            <w:r w:rsidRPr="00190CCB">
              <w:rPr>
                <w:b/>
                <w:bCs/>
                <w:sz w:val="24"/>
                <w:szCs w:val="24"/>
              </w:rPr>
              <w:t>s727 791</w:t>
            </w:r>
          </w:p>
        </w:tc>
      </w:tr>
      <w:tr w:rsidR="005F0672" w:rsidTr="00FF5D3B">
        <w:tc>
          <w:tcPr>
            <w:cnfStyle w:val="001000000000"/>
            <w:tcW w:w="3068" w:type="dxa"/>
          </w:tcPr>
          <w:p w:rsidR="005F0672" w:rsidRDefault="005F0672" w:rsidP="00FF5D3B">
            <w:pPr>
              <w:rPr>
                <w:sz w:val="24"/>
                <w:szCs w:val="24"/>
              </w:rPr>
            </w:pPr>
            <w:r w:rsidRPr="00190CCB">
              <w:rPr>
                <w:sz w:val="24"/>
                <w:szCs w:val="24"/>
              </w:rPr>
              <w:t>Thomas Hauenstein</w:t>
            </w:r>
          </w:p>
          <w:p w:rsidR="005F0672" w:rsidRPr="00190CCB" w:rsidRDefault="005F0672" w:rsidP="00FF5D3B">
            <w:pPr>
              <w:rPr>
                <w:sz w:val="16"/>
                <w:szCs w:val="16"/>
              </w:rPr>
            </w:pPr>
          </w:p>
        </w:tc>
        <w:tc>
          <w:tcPr>
            <w:tcW w:w="3151" w:type="dxa"/>
            <w:gridSpan w:val="3"/>
          </w:tcPr>
          <w:p w:rsidR="005F0672" w:rsidRPr="00190CCB" w:rsidRDefault="00A04392" w:rsidP="00FF5D3B">
            <w:pPr>
              <w:cnfStyle w:val="000000000000"/>
              <w:rPr>
                <w:bCs/>
                <w:sz w:val="24"/>
                <w:szCs w:val="24"/>
              </w:rPr>
            </w:pPr>
            <w:hyperlink r:id="rId10" w:history="1">
              <w:r w:rsidR="005F0672" w:rsidRPr="00190CCB">
                <w:rPr>
                  <w:rStyle w:val="Hyperlink"/>
                  <w:sz w:val="24"/>
                  <w:szCs w:val="24"/>
                </w:rPr>
                <w:t>freundschnuerschuh@gmx.de</w:t>
              </w:r>
            </w:hyperlink>
          </w:p>
        </w:tc>
        <w:tc>
          <w:tcPr>
            <w:tcW w:w="3069" w:type="dxa"/>
          </w:tcPr>
          <w:p w:rsidR="005F0672" w:rsidRPr="00190CCB" w:rsidRDefault="005F0672" w:rsidP="00FF5D3B">
            <w:pPr>
              <w:jc w:val="center"/>
              <w:cnfStyle w:val="000000000000"/>
              <w:rPr>
                <w:b/>
                <w:bCs/>
                <w:sz w:val="24"/>
                <w:szCs w:val="24"/>
              </w:rPr>
            </w:pPr>
            <w:r w:rsidRPr="00190CCB">
              <w:rPr>
                <w:b/>
                <w:bCs/>
                <w:sz w:val="24"/>
                <w:szCs w:val="24"/>
              </w:rPr>
              <w:t>s733 380</w:t>
            </w:r>
          </w:p>
        </w:tc>
      </w:tr>
    </w:tbl>
    <w:p w:rsidR="005F0672" w:rsidRPr="00D8180F" w:rsidRDefault="005F0672" w:rsidP="005F0672"/>
    <w:p w:rsidR="005F0672" w:rsidRDefault="005F0672">
      <w:r>
        <w:br w:type="page"/>
      </w:r>
    </w:p>
    <w:p w:rsidR="00655EB9" w:rsidRDefault="00655EB9"/>
    <w:p w:rsidR="00E321BD" w:rsidRDefault="00E321BD"/>
    <w:p w:rsidR="00E321BD" w:rsidRDefault="00E321BD"/>
    <w:p w:rsidR="00E321BD" w:rsidRDefault="00E321BD">
      <w:r>
        <w:t xml:space="preserve">Die Herausforderung des Projekts „Kurma“ besteht in der Verwendung relativ neuer Techniken wie Ajax, .Net 3.5 und C# 3.0. </w:t>
      </w:r>
      <w:r>
        <w:br/>
        <w:t xml:space="preserve">Daraus ergeben sich sowohl Vor- als auch Nachteile. Als Vorteil kann man die Verwendung aktueller Konzepte von Programmiersprachen (z.B. LINQ, Lambda-Expression, anonyme Konstruktoren). </w:t>
      </w:r>
    </w:p>
    <w:p w:rsidR="00E321BD" w:rsidRDefault="00E321BD">
      <w:r>
        <w:t>Speziell die Verwendung von LINQ vereinfacht den Zugriff auf die im Projekt verwendeten Datenbanken enorm, vor allem im Vergleich zu den bisherigen Möglichkeiten, auf Datenbanken zu</w:t>
      </w:r>
      <w:r w:rsidR="00E97961">
        <w:t>zugreifen.</w:t>
      </w:r>
    </w:p>
    <w:p w:rsidR="00E97961" w:rsidRDefault="00E97961">
      <w:r>
        <w:t>Die Verwendung dieser neuen Konzepte ist spannend und interessant zugleich und bietet im Rahmen dieses Projektes die Möglichkeit, Erfahrung im Umgang damit zu sammeln.</w:t>
      </w:r>
    </w:p>
    <w:p w:rsidR="00E97961" w:rsidRDefault="00E97961">
      <w:r>
        <w:t xml:space="preserve">Nachteilig hierbei ist, dass man auf relativ wenige Ressourcen zu diesem Thema zurückgreifen kann.  Bei Problemen in der Anwendung der neuen Techniken </w:t>
      </w:r>
      <w:r w:rsidR="00FF5D3B">
        <w:t>gibt</w:t>
      </w:r>
      <w:r>
        <w:t xml:space="preserve"> </w:t>
      </w:r>
      <w:r w:rsidR="00FF5D3B">
        <w:t>es</w:t>
      </w:r>
      <w:r>
        <w:t xml:space="preserve"> nur wenige Anlaufstellen, um Hilfe zu finden, da bisher nur wenige Personen diese nutzen und beherrschen.</w:t>
      </w:r>
      <w:r w:rsidR="001244E4">
        <w:br/>
        <w:t>Teilweise werden die angesprochenen Techniken noch nicht unterstützt, daher ist es zum Beispiel kaum möglich, Ajax-Komponenten</w:t>
      </w:r>
      <w:r w:rsidR="00F160E5">
        <w:t xml:space="preserve"> zu testen, da entsprechende Testtools für Javascript Ajax noch nicht beherrschen.</w:t>
      </w:r>
    </w:p>
    <w:p w:rsidR="00FF5D3B" w:rsidRDefault="00FF5D3B">
      <w:r>
        <w:t>Damit einher ging die Nutzung einer neuen Entwicklungsumgebung (Visual Studio 2008), die die Verwendung der genannten Techniken erlaubt. Auch hier ergaben sich Vor- und Nachteile.</w:t>
      </w:r>
      <w:r>
        <w:br/>
        <w:t xml:space="preserve">Nachteilig wirkte sich die Anbindung der integrierten Testsuite aus, da </w:t>
      </w:r>
      <w:r w:rsidR="002F59EB">
        <w:t xml:space="preserve">sich </w:t>
      </w:r>
      <w:r>
        <w:t>diese in der genutzten</w:t>
      </w:r>
      <w:r w:rsidR="002F59EB">
        <w:t xml:space="preserve"> (kostenfreien) Version der IDE nicht mit Webseiten nutzen ließ.</w:t>
      </w:r>
      <w:r w:rsidR="00CF7AFC">
        <w:t xml:space="preserve"> Daher war eine komplette Abdeckung mit Tests aller Klassen nicht möglich. Auch die Dokumentation bereitete (in Bezug auf die Webkomponenten des Projekts) Probleme. Insgesamt muss man der aktuellen Version von Visual Studio leider noch einige Fehler attestieren, die einer reibungslosen Entwicklung im Weg stehen.</w:t>
      </w:r>
    </w:p>
    <w:p w:rsidR="00803179" w:rsidRDefault="00803179">
      <w:r>
        <w:t>Gleichzeitig bietet die Umgebung aber auch Vorteile: Durch die Unterstützung von LINQ und IntelliSense, geht das Schreiben des Quellcodes leicht und schnell von der Hand. Die verwendeten Features sind hilfreich und sinnvoll gewählt. Viele sich üblicherweise wiederholenden Vorgänge werden ver</w:t>
      </w:r>
      <w:r w:rsidR="009C540C">
        <w:t xml:space="preserve">einfacht oder komplett von der </w:t>
      </w:r>
      <w:r>
        <w:t>I</w:t>
      </w:r>
      <w:r w:rsidR="009C540C">
        <w:t>D</w:t>
      </w:r>
      <w:r>
        <w:t>E übernommen. Auch die Einhaltung der Programmierrichtlinien wird durch die Entwicklungsumgebung begünstigt.</w:t>
      </w:r>
    </w:p>
    <w:p w:rsidR="00FF2B43" w:rsidRDefault="00FF2B43">
      <w:r>
        <w:t>Die Verwendung von Javascript erwies sich als recht kompliziert, da das Konzept dieser Skriptsprache nicht immer einhundert-prozentig zu überzeugen weiß, besonders da Fehler , aufgrund nicht aussagekräftiger Fehlermeldungen, nur schwer nachzuvollziehen sind.</w:t>
      </w:r>
    </w:p>
    <w:p w:rsidR="005F57F6" w:rsidRDefault="005F57F6">
      <w:r>
        <w:t>In Anbetracht der Tatsache, dass die verwendeten Techniken sehr aktuell</w:t>
      </w:r>
      <w:r w:rsidR="001B5810">
        <w:t xml:space="preserve"> sind, Literatur Mangelware und die Unterstützung durch Tools eher gering ist, kann man doch ein recht positives Fazit in Bezug auf das Projekt ziehen. Die Schwierigkeiten konnten zwar nicht gänzlich kompensiert werden, jedoch konnte eine lauffähige Version des Projekts erstellt werden.</w:t>
      </w:r>
    </w:p>
    <w:sectPr w:rsidR="005F57F6" w:rsidSect="005F0672">
      <w:headerReference w:type="default"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9FF" w:rsidRDefault="00E179FF" w:rsidP="005F0672">
      <w:pPr>
        <w:spacing w:after="0" w:line="240" w:lineRule="auto"/>
      </w:pPr>
      <w:r>
        <w:separator/>
      </w:r>
    </w:p>
  </w:endnote>
  <w:endnote w:type="continuationSeparator" w:id="1">
    <w:p w:rsidR="00E179FF" w:rsidRDefault="00E179FF" w:rsidP="005F0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2352315"/>
        <w:docPartObj>
          <w:docPartGallery w:val="Page Numbers (Bottom of Page)"/>
          <w:docPartUnique/>
        </w:docPartObj>
      </w:sdtPr>
      <w:sdtEndPr>
        <w:rPr>
          <w:rFonts w:asciiTheme="minorHAnsi" w:eastAsiaTheme="minorEastAsia" w:hAnsiTheme="minorHAnsi" w:cstheme="minorBidi"/>
          <w:sz w:val="22"/>
          <w:szCs w:val="22"/>
        </w:rPr>
      </w:sdtEndPr>
      <w:sdtContent>
        <w:tr w:rsidR="005F57F6">
          <w:trPr>
            <w:trHeight w:val="727"/>
          </w:trPr>
          <w:tc>
            <w:tcPr>
              <w:tcW w:w="4000" w:type="pct"/>
              <w:tcBorders>
                <w:right w:val="triple" w:sz="4" w:space="0" w:color="4F81BD" w:themeColor="accent1"/>
              </w:tcBorders>
            </w:tcPr>
            <w:p w:rsidR="005F57F6" w:rsidRDefault="005F57F6">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5F57F6" w:rsidRDefault="00A04392">
              <w:pPr>
                <w:tabs>
                  <w:tab w:val="left" w:pos="1490"/>
                </w:tabs>
                <w:rPr>
                  <w:rFonts w:asciiTheme="majorHAnsi" w:hAnsiTheme="majorHAnsi"/>
                  <w:sz w:val="28"/>
                  <w:szCs w:val="28"/>
                </w:rPr>
              </w:pPr>
              <w:fldSimple w:instr=" PAGE    \* MERGEFORMAT ">
                <w:r w:rsidR="009C540C">
                  <w:rPr>
                    <w:noProof/>
                  </w:rPr>
                  <w:t>2</w:t>
                </w:r>
              </w:fldSimple>
            </w:p>
          </w:tc>
        </w:tr>
      </w:sdtContent>
    </w:sdt>
  </w:tbl>
  <w:p w:rsidR="005F57F6" w:rsidRDefault="005F57F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9FF" w:rsidRDefault="00E179FF" w:rsidP="005F0672">
      <w:pPr>
        <w:spacing w:after="0" w:line="240" w:lineRule="auto"/>
      </w:pPr>
      <w:r>
        <w:separator/>
      </w:r>
    </w:p>
  </w:footnote>
  <w:footnote w:type="continuationSeparator" w:id="1">
    <w:p w:rsidR="00E179FF" w:rsidRDefault="00E179FF" w:rsidP="005F0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7F6" w:rsidRPr="00553E8C" w:rsidRDefault="005F57F6" w:rsidP="005F0672">
    <w:pPr>
      <w:pStyle w:val="Kopfzeile"/>
      <w:jc w:val="right"/>
    </w:pPr>
    <w:r>
      <w:rPr>
        <w:noProof/>
      </w:rPr>
      <w:drawing>
        <wp:anchor distT="0" distB="0" distL="114300" distR="114300" simplePos="0" relativeHeight="251659264" behindDoc="1" locked="0" layoutInCell="1" allowOverlap="1">
          <wp:simplePos x="0" y="0"/>
          <wp:positionH relativeFrom="column">
            <wp:posOffset>-61595</wp:posOffset>
          </wp:positionH>
          <wp:positionV relativeFrom="paragraph">
            <wp:posOffset>-201930</wp:posOffset>
          </wp:positionV>
          <wp:extent cx="800100" cy="742950"/>
          <wp:effectExtent l="19050" t="0" r="0" b="0"/>
          <wp:wrapNone/>
          <wp:docPr id="3" name="Bild 1" descr="kurma_smal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ma_small02"/>
                  <pic:cNvPicPr>
                    <a:picLocks noChangeAspect="1" noChangeArrowheads="1"/>
                  </pic:cNvPicPr>
                </pic:nvPicPr>
                <pic:blipFill>
                  <a:blip r:embed="rId1"/>
                  <a:srcRect/>
                  <a:stretch>
                    <a:fillRect/>
                  </a:stretch>
                </pic:blipFill>
                <pic:spPr bwMode="auto">
                  <a:xfrm>
                    <a:off x="0" y="0"/>
                    <a:ext cx="800100" cy="742950"/>
                  </a:xfrm>
                  <a:prstGeom prst="rect">
                    <a:avLst/>
                  </a:prstGeom>
                  <a:noFill/>
                  <a:ln w="9525">
                    <a:noFill/>
                    <a:miter lim="800000"/>
                    <a:headEnd/>
                    <a:tailEnd/>
                  </a:ln>
                </pic:spPr>
              </pic:pic>
            </a:graphicData>
          </a:graphic>
        </wp:anchor>
      </w:drawing>
    </w:r>
    <w:r w:rsidRPr="00553E8C">
      <w:t>Ein Projekt von</w:t>
    </w:r>
  </w:p>
  <w:p w:rsidR="005F57F6" w:rsidRDefault="005F57F6" w:rsidP="005F0672">
    <w:pPr>
      <w:pStyle w:val="Kopfzeile"/>
      <w:jc w:val="right"/>
    </w:pPr>
    <w:r w:rsidRPr="00553E8C">
      <w:t>Ines Abdallah, Ralf Bickel, Lars Buchleitner, Thomas Hauenstein</w:t>
    </w:r>
  </w:p>
  <w:p w:rsidR="005F57F6" w:rsidRDefault="005F57F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5F0672"/>
    <w:rsid w:val="001244E4"/>
    <w:rsid w:val="001826F1"/>
    <w:rsid w:val="001B5810"/>
    <w:rsid w:val="002F59EB"/>
    <w:rsid w:val="005F0672"/>
    <w:rsid w:val="005F57F6"/>
    <w:rsid w:val="00655EB9"/>
    <w:rsid w:val="00803179"/>
    <w:rsid w:val="009C540C"/>
    <w:rsid w:val="009D1FA4"/>
    <w:rsid w:val="00A04392"/>
    <w:rsid w:val="00BC472B"/>
    <w:rsid w:val="00CF7AFC"/>
    <w:rsid w:val="00E179FF"/>
    <w:rsid w:val="00E321BD"/>
    <w:rsid w:val="00E97961"/>
    <w:rsid w:val="00F160E5"/>
    <w:rsid w:val="00FF2B43"/>
    <w:rsid w:val="00FF5D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1FA4"/>
  </w:style>
  <w:style w:type="paragraph" w:styleId="berschrift2">
    <w:name w:val="heading 2"/>
    <w:basedOn w:val="Standard"/>
    <w:next w:val="Standard"/>
    <w:link w:val="berschrift2Zchn"/>
    <w:uiPriority w:val="9"/>
    <w:unhideWhenUsed/>
    <w:qFormat/>
    <w:rsid w:val="005F06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F0672"/>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rsid w:val="005F0672"/>
    <w:rPr>
      <w:color w:val="0000FF"/>
      <w:u w:val="single"/>
    </w:rPr>
  </w:style>
  <w:style w:type="table" w:customStyle="1" w:styleId="HelleSchattierung-Akzent11">
    <w:name w:val="Helle Schattierung - Akzent 11"/>
    <w:basedOn w:val="NormaleTabelle"/>
    <w:uiPriority w:val="60"/>
    <w:rsid w:val="005F06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el">
    <w:name w:val="Title"/>
    <w:basedOn w:val="Standard"/>
    <w:next w:val="Standard"/>
    <w:link w:val="TitelZchn"/>
    <w:uiPriority w:val="10"/>
    <w:qFormat/>
    <w:rsid w:val="005F06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0672"/>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5F067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F0672"/>
    <w:rPr>
      <w:rFonts w:asciiTheme="majorHAnsi" w:eastAsiaTheme="majorEastAsia" w:hAnsiTheme="majorHAnsi" w:cstheme="majorBidi"/>
      <w:i/>
      <w:iCs/>
      <w:color w:val="4F81BD" w:themeColor="accent1"/>
      <w:spacing w:val="15"/>
      <w:sz w:val="24"/>
      <w:szCs w:val="24"/>
    </w:rPr>
  </w:style>
  <w:style w:type="paragraph" w:styleId="Kopfzeile">
    <w:name w:val="header"/>
    <w:basedOn w:val="Standard"/>
    <w:link w:val="KopfzeileZchn"/>
    <w:unhideWhenUsed/>
    <w:rsid w:val="005F06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5F0672"/>
  </w:style>
  <w:style w:type="paragraph" w:styleId="Fuzeile">
    <w:name w:val="footer"/>
    <w:basedOn w:val="Standard"/>
    <w:link w:val="FuzeileZchn"/>
    <w:uiPriority w:val="99"/>
    <w:unhideWhenUsed/>
    <w:rsid w:val="005F06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06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f.bickel@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es.abdallah@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freundschnuerschuh@gmx.de" TargetMode="External"/><Relationship Id="rId4" Type="http://schemas.openxmlformats.org/officeDocument/2006/relationships/footnotes" Target="footnotes.xml"/><Relationship Id="rId9" Type="http://schemas.openxmlformats.org/officeDocument/2006/relationships/hyperlink" Target="mailto:dr.chandra@tfh-berli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falcy</cp:lastModifiedBy>
  <cp:revision>10</cp:revision>
  <dcterms:created xsi:type="dcterms:W3CDTF">2008-07-17T01:36:00Z</dcterms:created>
  <dcterms:modified xsi:type="dcterms:W3CDTF">2008-07-17T02:11:00Z</dcterms:modified>
</cp:coreProperties>
</file>